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C3CA" w14:textId="42987F34" w:rsidR="00751C3C" w:rsidRP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51C3C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41BA3">
        <w:rPr>
          <w:rFonts w:ascii="Arial" w:hAnsi="Arial" w:cs="Arial"/>
          <w:bCs/>
          <w:spacing w:val="-3"/>
          <w:sz w:val="22"/>
          <w:szCs w:val="22"/>
        </w:rPr>
        <w:t xml:space="preserve">(the Ports Act) 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provides a legislative framework for the Queensland Government’s port-related commitments and actions of the </w:t>
      </w:r>
      <w:r w:rsidRPr="009A168E">
        <w:rPr>
          <w:rFonts w:ascii="Arial" w:hAnsi="Arial" w:cs="Arial"/>
          <w:bCs/>
          <w:i/>
          <w:spacing w:val="-3"/>
          <w:sz w:val="22"/>
          <w:szCs w:val="22"/>
        </w:rPr>
        <w:t>Reef 2050 Long-Term Sustainability Plan</w:t>
      </w:r>
      <w:r w:rsidRPr="00751C3C">
        <w:rPr>
          <w:rFonts w:ascii="Arial" w:hAnsi="Arial" w:cs="Arial"/>
          <w:bCs/>
          <w:spacing w:val="-3"/>
          <w:sz w:val="22"/>
          <w:szCs w:val="22"/>
        </w:rPr>
        <w:t>, including mandating master planning for priority ports</w:t>
      </w:r>
      <w:r w:rsidR="00281D55">
        <w:rPr>
          <w:rFonts w:ascii="Arial" w:hAnsi="Arial" w:cs="Arial"/>
          <w:bCs/>
          <w:spacing w:val="-3"/>
          <w:sz w:val="22"/>
          <w:szCs w:val="22"/>
        </w:rPr>
        <w:t>. The</w:t>
      </w:r>
      <w:r w:rsidR="00541BA3">
        <w:rPr>
          <w:rFonts w:ascii="Arial" w:hAnsi="Arial" w:cs="Arial"/>
          <w:bCs/>
          <w:spacing w:val="-3"/>
          <w:sz w:val="22"/>
          <w:szCs w:val="22"/>
        </w:rPr>
        <w:t xml:space="preserve"> Ports Act</w:t>
      </w:r>
      <w:r w:rsidR="00281D55">
        <w:rPr>
          <w:rFonts w:ascii="Arial" w:hAnsi="Arial" w:cs="Arial"/>
          <w:bCs/>
          <w:spacing w:val="-3"/>
          <w:sz w:val="22"/>
          <w:szCs w:val="22"/>
        </w:rPr>
        <w:t xml:space="preserve"> designates the p</w:t>
      </w:r>
      <w:r w:rsidRPr="00751C3C">
        <w:rPr>
          <w:rFonts w:ascii="Arial" w:hAnsi="Arial" w:cs="Arial"/>
          <w:bCs/>
          <w:spacing w:val="-3"/>
          <w:sz w:val="22"/>
          <w:szCs w:val="22"/>
        </w:rPr>
        <w:t>ort</w:t>
      </w:r>
      <w:r w:rsidR="00281D55">
        <w:rPr>
          <w:rFonts w:ascii="Arial" w:hAnsi="Arial" w:cs="Arial"/>
          <w:bCs/>
          <w:spacing w:val="-3"/>
          <w:sz w:val="22"/>
          <w:szCs w:val="22"/>
        </w:rPr>
        <w:t>s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 w:rsidR="00281D55">
        <w:rPr>
          <w:rFonts w:ascii="Arial" w:hAnsi="Arial" w:cs="Arial"/>
          <w:bCs/>
          <w:spacing w:val="-3"/>
          <w:sz w:val="22"/>
          <w:szCs w:val="22"/>
        </w:rPr>
        <w:t xml:space="preserve">Townsville and </w:t>
      </w:r>
      <w:r w:rsidR="008C734B">
        <w:rPr>
          <w:rFonts w:ascii="Arial" w:hAnsi="Arial" w:cs="Arial"/>
          <w:bCs/>
          <w:spacing w:val="-3"/>
          <w:sz w:val="22"/>
          <w:szCs w:val="22"/>
        </w:rPr>
        <w:t xml:space="preserve">Gladstone as </w:t>
      </w:r>
      <w:r w:rsidRPr="00751C3C">
        <w:rPr>
          <w:rFonts w:ascii="Arial" w:hAnsi="Arial" w:cs="Arial"/>
          <w:bCs/>
          <w:spacing w:val="-3"/>
          <w:sz w:val="22"/>
          <w:szCs w:val="22"/>
        </w:rPr>
        <w:t>priority port</w:t>
      </w:r>
      <w:r w:rsidR="008C734B">
        <w:rPr>
          <w:rFonts w:ascii="Arial" w:hAnsi="Arial" w:cs="Arial"/>
          <w:bCs/>
          <w:spacing w:val="-3"/>
          <w:sz w:val="22"/>
          <w:szCs w:val="22"/>
        </w:rPr>
        <w:t>s</w:t>
      </w:r>
      <w:r w:rsidRPr="00751C3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816D5A1" w14:textId="2860B879" w:rsidR="002509E8" w:rsidRPr="006431B6" w:rsidRDefault="00A80429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431B6">
        <w:rPr>
          <w:rFonts w:ascii="Arial" w:hAnsi="Arial" w:cs="Arial"/>
          <w:bCs/>
          <w:spacing w:val="-3"/>
          <w:sz w:val="22"/>
          <w:szCs w:val="22"/>
        </w:rPr>
        <w:t xml:space="preserve">The master plan for the </w:t>
      </w:r>
      <w:r w:rsidR="003C6D4E">
        <w:rPr>
          <w:rFonts w:ascii="Arial" w:hAnsi="Arial" w:cs="Arial"/>
          <w:bCs/>
          <w:spacing w:val="-3"/>
          <w:sz w:val="22"/>
          <w:szCs w:val="22"/>
        </w:rPr>
        <w:t xml:space="preserve">priority </w:t>
      </w:r>
      <w:r w:rsidRPr="006431B6">
        <w:rPr>
          <w:rFonts w:ascii="Arial" w:hAnsi="Arial" w:cs="Arial"/>
          <w:bCs/>
          <w:spacing w:val="-3"/>
          <w:sz w:val="22"/>
          <w:szCs w:val="22"/>
        </w:rPr>
        <w:t>Port of Townsville is a strategic document which sets out the long-term plan for the sustainable development of the port until the year 2050. A draft master plan, including a proposed master planned area, was released for public consultation from 5 November to 17</w:t>
      </w:r>
      <w:r w:rsidR="00992AE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431B6">
        <w:rPr>
          <w:rFonts w:ascii="Arial" w:hAnsi="Arial" w:cs="Arial"/>
          <w:bCs/>
          <w:spacing w:val="-3"/>
          <w:sz w:val="22"/>
          <w:szCs w:val="22"/>
        </w:rPr>
        <w:t>December 2018.</w:t>
      </w:r>
      <w:r w:rsidR="006431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51C3C" w:rsidRPr="006431B6">
        <w:rPr>
          <w:rFonts w:ascii="Arial" w:hAnsi="Arial" w:cs="Arial"/>
          <w:bCs/>
          <w:spacing w:val="-3"/>
          <w:sz w:val="22"/>
          <w:szCs w:val="22"/>
        </w:rPr>
        <w:t>Outcomes from the consultation process have been reviewed and considered in the preparation of the final master plan</w:t>
      </w:r>
      <w:r w:rsidR="007D279E" w:rsidRPr="006431B6">
        <w:rPr>
          <w:rFonts w:ascii="Arial" w:hAnsi="Arial" w:cs="Arial"/>
          <w:bCs/>
          <w:spacing w:val="-3"/>
          <w:sz w:val="22"/>
          <w:szCs w:val="22"/>
        </w:rPr>
        <w:t xml:space="preserve"> for the Port of Townsville</w:t>
      </w:r>
      <w:r w:rsidR="00751C3C" w:rsidRPr="006431B6">
        <w:rPr>
          <w:rFonts w:ascii="Arial" w:hAnsi="Arial" w:cs="Arial"/>
          <w:bCs/>
          <w:spacing w:val="-3"/>
          <w:sz w:val="22"/>
          <w:szCs w:val="22"/>
        </w:rPr>
        <w:t xml:space="preserve"> and master planned area.</w:t>
      </w:r>
    </w:p>
    <w:p w14:paraId="2F0E52A3" w14:textId="1FDEE981" w:rsidR="002509E8" w:rsidRPr="00511A7E" w:rsidRDefault="002509E8" w:rsidP="002509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1A7E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="00511A7E" w:rsidRPr="00511A7E">
        <w:rPr>
          <w:rFonts w:ascii="Arial" w:hAnsi="Arial" w:cs="Arial"/>
          <w:bCs/>
          <w:spacing w:val="-3"/>
          <w:sz w:val="22"/>
          <w:szCs w:val="22"/>
        </w:rPr>
        <w:t xml:space="preserve">port overlays have been prepared for the priority ports of Townsville and Gladstone. </w:t>
      </w:r>
      <w:r w:rsidRPr="00511A7E">
        <w:rPr>
          <w:rFonts w:ascii="Arial" w:hAnsi="Arial" w:cs="Arial"/>
          <w:bCs/>
          <w:spacing w:val="-3"/>
          <w:sz w:val="22"/>
          <w:szCs w:val="22"/>
        </w:rPr>
        <w:t>Port overlays are regulatory instruments that implement master plan</w:t>
      </w:r>
      <w:r w:rsidR="00511A7E">
        <w:rPr>
          <w:rFonts w:ascii="Arial" w:hAnsi="Arial" w:cs="Arial"/>
          <w:bCs/>
          <w:spacing w:val="-3"/>
          <w:sz w:val="22"/>
          <w:szCs w:val="22"/>
        </w:rPr>
        <w:t>s</w:t>
      </w:r>
      <w:r w:rsidRPr="00511A7E">
        <w:rPr>
          <w:rFonts w:ascii="Arial" w:hAnsi="Arial" w:cs="Arial"/>
          <w:bCs/>
          <w:spacing w:val="-3"/>
          <w:sz w:val="22"/>
          <w:szCs w:val="22"/>
        </w:rPr>
        <w:t xml:space="preserve"> over the master planned area. </w:t>
      </w:r>
      <w:r w:rsidR="003571E2">
        <w:rPr>
          <w:rFonts w:ascii="Arial" w:hAnsi="Arial" w:cs="Arial"/>
          <w:bCs/>
          <w:spacing w:val="-3"/>
          <w:sz w:val="22"/>
          <w:szCs w:val="22"/>
        </w:rPr>
        <w:t xml:space="preserve">They </w:t>
      </w:r>
      <w:r w:rsidR="003571E2" w:rsidRPr="00511A7E">
        <w:rPr>
          <w:rFonts w:ascii="Arial" w:hAnsi="Arial" w:cs="Arial"/>
          <w:bCs/>
          <w:spacing w:val="-3"/>
          <w:sz w:val="22"/>
          <w:szCs w:val="22"/>
        </w:rPr>
        <w:t xml:space="preserve">ensure the master plan’s strategic vision and desired outcomes are achieved. </w:t>
      </w:r>
      <w:r w:rsidRPr="00511A7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41BA3">
        <w:rPr>
          <w:rFonts w:ascii="Arial" w:hAnsi="Arial" w:cs="Arial"/>
          <w:bCs/>
          <w:spacing w:val="-3"/>
          <w:sz w:val="22"/>
          <w:szCs w:val="22"/>
        </w:rPr>
        <w:t xml:space="preserve">Ports Act </w:t>
      </w:r>
      <w:r w:rsidRPr="00511A7E">
        <w:rPr>
          <w:rFonts w:ascii="Arial" w:hAnsi="Arial" w:cs="Arial"/>
          <w:bCs/>
          <w:spacing w:val="-3"/>
          <w:sz w:val="22"/>
          <w:szCs w:val="22"/>
        </w:rPr>
        <w:t>requires the preparation of a port overlay for each mas</w:t>
      </w:r>
      <w:r w:rsidR="003571E2">
        <w:rPr>
          <w:rFonts w:ascii="Arial" w:hAnsi="Arial" w:cs="Arial"/>
          <w:bCs/>
          <w:spacing w:val="-3"/>
          <w:sz w:val="22"/>
          <w:szCs w:val="22"/>
        </w:rPr>
        <w:t xml:space="preserve">ter planned area. </w:t>
      </w:r>
    </w:p>
    <w:p w14:paraId="53850630" w14:textId="28FCF0C6" w:rsidR="00751C3C" w:rsidRPr="004D114A" w:rsidRDefault="00751C3C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168E">
        <w:rPr>
          <w:rFonts w:ascii="Arial" w:hAnsi="Arial" w:cs="Arial"/>
          <w:sz w:val="22"/>
          <w:szCs w:val="22"/>
          <w:u w:val="single"/>
        </w:rPr>
        <w:t>Cabinet</w:t>
      </w:r>
      <w:r w:rsidR="00441FEF" w:rsidRPr="009A168E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approved</w:t>
      </w:r>
      <w:r w:rsidRPr="00441FEF">
        <w:rPr>
          <w:rFonts w:ascii="Arial" w:hAnsi="Arial" w:cs="Arial"/>
          <w:sz w:val="22"/>
          <w:szCs w:val="22"/>
        </w:rPr>
        <w:t xml:space="preserve"> </w:t>
      </w:r>
      <w:r w:rsidRPr="004D114A">
        <w:rPr>
          <w:rFonts w:ascii="Arial" w:hAnsi="Arial" w:cs="Arial"/>
          <w:sz w:val="22"/>
          <w:szCs w:val="22"/>
        </w:rPr>
        <w:t xml:space="preserve">the final master plan for the priority Port of </w:t>
      </w:r>
      <w:r w:rsidR="007D279E" w:rsidRPr="004D114A">
        <w:rPr>
          <w:rFonts w:ascii="Arial" w:hAnsi="Arial" w:cs="Arial"/>
          <w:sz w:val="22"/>
          <w:szCs w:val="22"/>
        </w:rPr>
        <w:t>Townsville</w:t>
      </w:r>
      <w:r w:rsidR="00FD1688" w:rsidRPr="004D114A">
        <w:rPr>
          <w:rFonts w:ascii="Arial" w:hAnsi="Arial" w:cs="Arial"/>
          <w:sz w:val="22"/>
          <w:szCs w:val="22"/>
        </w:rPr>
        <w:t>.</w:t>
      </w:r>
    </w:p>
    <w:p w14:paraId="314B4A83" w14:textId="6A382B63" w:rsidR="002924BD" w:rsidRPr="004D114A" w:rsidRDefault="002924BD" w:rsidP="002924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D114A">
        <w:rPr>
          <w:rFonts w:ascii="Arial" w:hAnsi="Arial" w:cs="Arial"/>
          <w:sz w:val="22"/>
          <w:szCs w:val="22"/>
          <w:u w:val="single"/>
        </w:rPr>
        <w:t>Cabinet approved</w:t>
      </w:r>
      <w:r w:rsidRPr="004D114A">
        <w:rPr>
          <w:rFonts w:ascii="Arial" w:hAnsi="Arial" w:cs="Arial"/>
          <w:sz w:val="22"/>
          <w:szCs w:val="22"/>
        </w:rPr>
        <w:t xml:space="preserve"> the draft port overlays for the priority ports of Townsville and Gladstone</w:t>
      </w:r>
      <w:r w:rsidRPr="004D114A">
        <w:rPr>
          <w:rFonts w:ascii="Arial" w:hAnsi="Arial" w:cs="Arial"/>
          <w:i/>
          <w:sz w:val="22"/>
          <w:szCs w:val="22"/>
        </w:rPr>
        <w:t>.</w:t>
      </w:r>
    </w:p>
    <w:p w14:paraId="30764CB9" w14:textId="04CD7256" w:rsidR="00441FEF" w:rsidRPr="004D114A" w:rsidRDefault="00441FEF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D114A">
        <w:rPr>
          <w:rFonts w:ascii="Arial" w:hAnsi="Arial" w:cs="Arial"/>
          <w:sz w:val="22"/>
          <w:szCs w:val="22"/>
          <w:u w:val="single"/>
        </w:rPr>
        <w:t>Cabinet noted</w:t>
      </w:r>
      <w:r w:rsidRPr="004D114A">
        <w:rPr>
          <w:rFonts w:ascii="Arial" w:hAnsi="Arial" w:cs="Arial"/>
          <w:sz w:val="22"/>
          <w:szCs w:val="22"/>
        </w:rPr>
        <w:t xml:space="preserve"> the Minister for Transport and Main Roads </w:t>
      </w:r>
      <w:r w:rsidR="00411480" w:rsidRPr="004D114A">
        <w:rPr>
          <w:rFonts w:ascii="Arial" w:hAnsi="Arial" w:cs="Arial"/>
          <w:sz w:val="22"/>
          <w:szCs w:val="22"/>
        </w:rPr>
        <w:t xml:space="preserve">would </w:t>
      </w:r>
      <w:r w:rsidRPr="004D114A">
        <w:rPr>
          <w:rFonts w:ascii="Arial" w:hAnsi="Arial" w:cs="Arial"/>
          <w:sz w:val="22"/>
          <w:szCs w:val="22"/>
        </w:rPr>
        <w:t xml:space="preserve">release the final master plan for the priority Port of </w:t>
      </w:r>
      <w:r w:rsidR="007D279E" w:rsidRPr="004D114A">
        <w:rPr>
          <w:rFonts w:ascii="Arial" w:hAnsi="Arial" w:cs="Arial"/>
          <w:sz w:val="22"/>
          <w:szCs w:val="22"/>
        </w:rPr>
        <w:t>Townsville</w:t>
      </w:r>
      <w:r w:rsidRPr="004D114A">
        <w:rPr>
          <w:rFonts w:ascii="Arial" w:hAnsi="Arial" w:cs="Arial"/>
          <w:sz w:val="22"/>
          <w:szCs w:val="22"/>
        </w:rPr>
        <w:t>.</w:t>
      </w:r>
    </w:p>
    <w:p w14:paraId="456A1379" w14:textId="65A4560C" w:rsidR="00411480" w:rsidRPr="004D114A" w:rsidRDefault="00411480" w:rsidP="00527C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D114A">
        <w:rPr>
          <w:rFonts w:ascii="Arial" w:hAnsi="Arial" w:cs="Arial"/>
          <w:sz w:val="22"/>
          <w:szCs w:val="22"/>
          <w:u w:val="single"/>
        </w:rPr>
        <w:t>Cabinet noted</w:t>
      </w:r>
      <w:r w:rsidRPr="004D114A">
        <w:rPr>
          <w:rFonts w:ascii="Arial" w:hAnsi="Arial" w:cs="Arial"/>
          <w:sz w:val="22"/>
          <w:szCs w:val="22"/>
        </w:rPr>
        <w:t xml:space="preserve"> the Minister for Transport and Main Roads would release the draft </w:t>
      </w:r>
      <w:r w:rsidR="00F10FC2" w:rsidRPr="004D114A">
        <w:rPr>
          <w:rFonts w:ascii="Arial" w:hAnsi="Arial" w:cs="Arial"/>
          <w:sz w:val="22"/>
          <w:szCs w:val="22"/>
        </w:rPr>
        <w:t>port overlays for the priority p</w:t>
      </w:r>
      <w:r w:rsidRPr="004D114A">
        <w:rPr>
          <w:rFonts w:ascii="Arial" w:hAnsi="Arial" w:cs="Arial"/>
          <w:sz w:val="22"/>
          <w:szCs w:val="22"/>
        </w:rPr>
        <w:t>ort</w:t>
      </w:r>
      <w:r w:rsidR="00F10FC2" w:rsidRPr="004D114A">
        <w:rPr>
          <w:rFonts w:ascii="Arial" w:hAnsi="Arial" w:cs="Arial"/>
          <w:sz w:val="22"/>
          <w:szCs w:val="22"/>
        </w:rPr>
        <w:t>s</w:t>
      </w:r>
      <w:r w:rsidRPr="004D114A">
        <w:rPr>
          <w:rFonts w:ascii="Arial" w:hAnsi="Arial" w:cs="Arial"/>
          <w:sz w:val="22"/>
          <w:szCs w:val="22"/>
        </w:rPr>
        <w:t xml:space="preserve"> of Townsville </w:t>
      </w:r>
      <w:r w:rsidR="00F10FC2" w:rsidRPr="004D114A">
        <w:rPr>
          <w:rFonts w:ascii="Arial" w:hAnsi="Arial" w:cs="Arial"/>
          <w:sz w:val="22"/>
          <w:szCs w:val="22"/>
        </w:rPr>
        <w:t xml:space="preserve">and Gladstone </w:t>
      </w:r>
      <w:r w:rsidRPr="004D114A">
        <w:rPr>
          <w:rFonts w:ascii="Arial" w:hAnsi="Arial" w:cs="Arial"/>
          <w:sz w:val="22"/>
          <w:szCs w:val="22"/>
        </w:rPr>
        <w:t>for public notification.</w:t>
      </w:r>
    </w:p>
    <w:p w14:paraId="1179E0A0" w14:textId="71D8F1E4" w:rsidR="00637CC2" w:rsidRPr="004D114A" w:rsidRDefault="00637CC2" w:rsidP="004114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D114A">
        <w:rPr>
          <w:rFonts w:ascii="Arial" w:hAnsi="Arial" w:cs="Arial"/>
          <w:sz w:val="22"/>
          <w:szCs w:val="22"/>
          <w:u w:val="single"/>
        </w:rPr>
        <w:t>Cabinet noted</w:t>
      </w:r>
      <w:r w:rsidRPr="004D114A">
        <w:rPr>
          <w:rFonts w:ascii="Arial" w:hAnsi="Arial" w:cs="Arial"/>
          <w:sz w:val="22"/>
          <w:szCs w:val="22"/>
        </w:rPr>
        <w:t xml:space="preserve"> the</w:t>
      </w:r>
      <w:r w:rsidRPr="00992AE9">
        <w:rPr>
          <w:rFonts w:ascii="Arial" w:hAnsi="Arial" w:cs="Arial"/>
          <w:sz w:val="22"/>
          <w:szCs w:val="22"/>
        </w:rPr>
        <w:t xml:space="preserve"> </w:t>
      </w:r>
      <w:r w:rsidRPr="004D114A">
        <w:rPr>
          <w:rFonts w:ascii="Arial" w:hAnsi="Arial" w:cs="Arial"/>
          <w:sz w:val="22"/>
          <w:szCs w:val="22"/>
        </w:rPr>
        <w:t>Minister for Transport and Main Roads would release the draft guideline Master Planning for Priority Ports for public consultation.</w:t>
      </w:r>
    </w:p>
    <w:p w14:paraId="0BAB2189" w14:textId="6BC359D4" w:rsidR="00441FEF" w:rsidRPr="00441FEF" w:rsidRDefault="00441FEF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D114A">
        <w:rPr>
          <w:rFonts w:ascii="Arial" w:hAnsi="Arial" w:cs="Arial"/>
          <w:sz w:val="22"/>
          <w:szCs w:val="22"/>
          <w:u w:val="single"/>
        </w:rPr>
        <w:t>Cabinet noted</w:t>
      </w:r>
      <w:r w:rsidRPr="004D114A">
        <w:rPr>
          <w:rFonts w:ascii="Arial" w:hAnsi="Arial" w:cs="Arial"/>
          <w:sz w:val="22"/>
          <w:szCs w:val="22"/>
        </w:rPr>
        <w:t xml:space="preserve"> a report on the public consultation process conducted</w:t>
      </w:r>
      <w:r w:rsidRPr="00751C3C">
        <w:rPr>
          <w:rFonts w:ascii="Arial" w:hAnsi="Arial" w:cs="Arial"/>
          <w:sz w:val="22"/>
          <w:szCs w:val="22"/>
        </w:rPr>
        <w:t xml:space="preserve"> for the draft </w:t>
      </w:r>
      <w:r>
        <w:rPr>
          <w:rFonts w:ascii="Arial" w:hAnsi="Arial" w:cs="Arial"/>
          <w:sz w:val="22"/>
          <w:szCs w:val="22"/>
        </w:rPr>
        <w:t>m</w:t>
      </w:r>
      <w:r w:rsidRPr="00751C3C">
        <w:rPr>
          <w:rFonts w:ascii="Arial" w:hAnsi="Arial" w:cs="Arial"/>
          <w:sz w:val="22"/>
          <w:szCs w:val="22"/>
        </w:rPr>
        <w:t xml:space="preserve">aster </w:t>
      </w:r>
      <w:r>
        <w:rPr>
          <w:rFonts w:ascii="Arial" w:hAnsi="Arial" w:cs="Arial"/>
          <w:sz w:val="22"/>
          <w:szCs w:val="22"/>
        </w:rPr>
        <w:t>p</w:t>
      </w:r>
      <w:r w:rsidRPr="00751C3C">
        <w:rPr>
          <w:rFonts w:ascii="Arial" w:hAnsi="Arial" w:cs="Arial"/>
          <w:sz w:val="22"/>
          <w:szCs w:val="22"/>
        </w:rPr>
        <w:t xml:space="preserve">lan </w:t>
      </w:r>
      <w:r w:rsidR="007D279E" w:rsidRPr="00751C3C">
        <w:rPr>
          <w:rFonts w:ascii="Arial" w:hAnsi="Arial" w:cs="Arial"/>
          <w:sz w:val="22"/>
          <w:szCs w:val="22"/>
        </w:rPr>
        <w:t xml:space="preserve">for the priority Port of </w:t>
      </w:r>
      <w:r w:rsidR="007D279E">
        <w:rPr>
          <w:rFonts w:ascii="Arial" w:hAnsi="Arial" w:cs="Arial"/>
          <w:sz w:val="22"/>
          <w:szCs w:val="22"/>
        </w:rPr>
        <w:t>Townsville</w:t>
      </w:r>
      <w:r w:rsidR="007D279E" w:rsidRPr="00751C3C">
        <w:rPr>
          <w:rFonts w:ascii="Arial" w:hAnsi="Arial" w:cs="Arial"/>
          <w:sz w:val="22"/>
          <w:szCs w:val="22"/>
        </w:rPr>
        <w:t xml:space="preserve"> </w:t>
      </w:r>
      <w:r w:rsidRPr="00751C3C">
        <w:rPr>
          <w:rFonts w:ascii="Arial" w:hAnsi="Arial" w:cs="Arial"/>
          <w:sz w:val="22"/>
          <w:szCs w:val="22"/>
        </w:rPr>
        <w:t>be made available to the public alongside the final master plan</w:t>
      </w:r>
      <w:r>
        <w:rPr>
          <w:rFonts w:ascii="Arial" w:hAnsi="Arial" w:cs="Arial"/>
          <w:sz w:val="22"/>
          <w:szCs w:val="22"/>
        </w:rPr>
        <w:t>.</w:t>
      </w:r>
    </w:p>
    <w:p w14:paraId="3F323C38" w14:textId="77777777" w:rsidR="00D6589B" w:rsidRPr="00C07656" w:rsidRDefault="00D6589B" w:rsidP="00992AE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53CF3B5" w14:textId="089537A6" w:rsidR="00732E22" w:rsidRDefault="009008AE" w:rsidP="004959D3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640C1" w:rsidRPr="004959D3">
          <w:rPr>
            <w:rStyle w:val="Hyperlink"/>
            <w:rFonts w:ascii="Arial" w:hAnsi="Arial" w:cs="Arial"/>
            <w:sz w:val="22"/>
            <w:szCs w:val="22"/>
          </w:rPr>
          <w:t xml:space="preserve">Master plan – Priority Port of </w:t>
        </w:r>
        <w:r w:rsidR="007D279E" w:rsidRPr="004959D3">
          <w:rPr>
            <w:rStyle w:val="Hyperlink"/>
            <w:rFonts w:ascii="Arial" w:hAnsi="Arial" w:cs="Arial"/>
            <w:sz w:val="22"/>
            <w:szCs w:val="22"/>
          </w:rPr>
          <w:t>Townsville</w:t>
        </w:r>
      </w:hyperlink>
    </w:p>
    <w:p w14:paraId="0E5E258C" w14:textId="43E9E50A" w:rsidR="003640C1" w:rsidRDefault="009008AE" w:rsidP="004959D3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640C1" w:rsidRPr="004959D3">
          <w:rPr>
            <w:rStyle w:val="Hyperlink"/>
            <w:rFonts w:ascii="Arial" w:hAnsi="Arial" w:cs="Arial"/>
            <w:sz w:val="22"/>
            <w:szCs w:val="22"/>
          </w:rPr>
          <w:t xml:space="preserve">Report on public consultation – Draft master plan for the priority Port of </w:t>
        </w:r>
        <w:r w:rsidR="007D279E" w:rsidRPr="004959D3">
          <w:rPr>
            <w:rStyle w:val="Hyperlink"/>
            <w:rFonts w:ascii="Arial" w:hAnsi="Arial" w:cs="Arial"/>
            <w:sz w:val="22"/>
            <w:szCs w:val="22"/>
          </w:rPr>
          <w:t>Townsville</w:t>
        </w:r>
      </w:hyperlink>
    </w:p>
    <w:p w14:paraId="4CD32794" w14:textId="22BC3514" w:rsidR="007D279E" w:rsidRDefault="009008AE" w:rsidP="004959D3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12" w:history="1">
        <w:r w:rsidR="00B92C86" w:rsidRPr="004959D3">
          <w:rPr>
            <w:rStyle w:val="Hyperlink"/>
            <w:rFonts w:ascii="Arial" w:hAnsi="Arial" w:cs="Arial"/>
            <w:sz w:val="22"/>
            <w:szCs w:val="22"/>
          </w:rPr>
          <w:t>Draft port overlay – Priority Port of Townsville</w:t>
        </w:r>
      </w:hyperlink>
    </w:p>
    <w:p w14:paraId="5BA229B0" w14:textId="40C62EC2" w:rsidR="00B92C86" w:rsidRDefault="009008AE" w:rsidP="004959D3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13" w:history="1">
        <w:r w:rsidR="00B92C86" w:rsidRPr="004959D3">
          <w:rPr>
            <w:rStyle w:val="Hyperlink"/>
            <w:rFonts w:ascii="Arial" w:hAnsi="Arial" w:cs="Arial"/>
            <w:sz w:val="22"/>
            <w:szCs w:val="22"/>
          </w:rPr>
          <w:t>Draft port overlay – Priority Port of Gladstone</w:t>
        </w:r>
      </w:hyperlink>
    </w:p>
    <w:p w14:paraId="7726255E" w14:textId="7ED03EC3" w:rsidR="00B92C86" w:rsidRPr="00937A4A" w:rsidRDefault="009008AE" w:rsidP="004959D3">
      <w:pPr>
        <w:numPr>
          <w:ilvl w:val="0"/>
          <w:numId w:val="2"/>
        </w:numPr>
        <w:spacing w:before="120"/>
        <w:ind w:left="811" w:hanging="385"/>
        <w:jc w:val="both"/>
        <w:rPr>
          <w:rFonts w:ascii="Arial" w:hAnsi="Arial" w:cs="Arial"/>
          <w:sz w:val="22"/>
          <w:szCs w:val="22"/>
        </w:rPr>
      </w:pPr>
      <w:hyperlink r:id="rId14" w:history="1">
        <w:r w:rsidR="00B92C86" w:rsidRPr="004959D3">
          <w:rPr>
            <w:rStyle w:val="Hyperlink"/>
            <w:rFonts w:ascii="Arial" w:hAnsi="Arial" w:cs="Arial"/>
            <w:sz w:val="22"/>
            <w:szCs w:val="22"/>
          </w:rPr>
          <w:t>Draft guideline – Master Planning for Priority Ports</w:t>
        </w:r>
      </w:hyperlink>
    </w:p>
    <w:sectPr w:rsidR="00B92C86" w:rsidRPr="00937A4A" w:rsidSect="000F70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89BE" w14:textId="77777777" w:rsidR="00451A25" w:rsidRDefault="00451A25" w:rsidP="00D6589B">
      <w:r>
        <w:separator/>
      </w:r>
    </w:p>
  </w:endnote>
  <w:endnote w:type="continuationSeparator" w:id="0">
    <w:p w14:paraId="62D87BB2" w14:textId="77777777" w:rsidR="00451A25" w:rsidRDefault="00451A2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AE43" w14:textId="77777777" w:rsidR="00B2472C" w:rsidRDefault="00B2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D083" w14:textId="77777777" w:rsidR="00B2472C" w:rsidRDefault="00B24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4E31" w14:textId="77777777" w:rsidR="00B2472C" w:rsidRDefault="00B2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3EA7" w14:textId="77777777" w:rsidR="00451A25" w:rsidRDefault="00451A25" w:rsidP="00D6589B">
      <w:r>
        <w:separator/>
      </w:r>
    </w:p>
  </w:footnote>
  <w:footnote w:type="continuationSeparator" w:id="0">
    <w:p w14:paraId="4CB50804" w14:textId="77777777" w:rsidR="00451A25" w:rsidRDefault="00451A2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27FC" w14:textId="77777777" w:rsidR="00B2472C" w:rsidRDefault="00B2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A9C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B876BB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53B349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66AF0">
      <w:rPr>
        <w:rFonts w:ascii="Arial" w:hAnsi="Arial" w:cs="Arial"/>
        <w:b/>
        <w:color w:val="auto"/>
        <w:sz w:val="22"/>
        <w:szCs w:val="22"/>
        <w:lang w:eastAsia="en-US"/>
      </w:rPr>
      <w:t>September 201</w:t>
    </w:r>
    <w:r w:rsidR="00412005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1B5CCC23" w14:textId="5A98B481" w:rsidR="0023544B" w:rsidRDefault="00412005" w:rsidP="004B79E6">
    <w:pPr>
      <w:keepLines/>
      <w:spacing w:before="240"/>
      <w:jc w:val="both"/>
    </w:pPr>
    <w:r w:rsidRPr="004B79E6">
      <w:rPr>
        <w:rFonts w:ascii="Arial" w:hAnsi="Arial" w:cs="Arial"/>
        <w:b/>
        <w:u w:val="single"/>
      </w:rPr>
      <w:t>Release of the final master plan for the</w:t>
    </w:r>
    <w:r w:rsidR="003C6D4E" w:rsidRPr="004B79E6">
      <w:rPr>
        <w:rFonts w:ascii="Arial" w:hAnsi="Arial" w:cs="Arial"/>
        <w:b/>
        <w:u w:val="single"/>
      </w:rPr>
      <w:t xml:space="preserve"> priority</w:t>
    </w:r>
    <w:r w:rsidRPr="004B79E6">
      <w:rPr>
        <w:rFonts w:ascii="Arial" w:hAnsi="Arial" w:cs="Arial"/>
        <w:b/>
        <w:u w:val="single"/>
      </w:rPr>
      <w:t xml:space="preserve"> Port of Townsville and release of draft port overlays for public consultation for the priority ports of Townsville and Gladstone under the </w:t>
    </w:r>
    <w:r w:rsidRPr="004B79E6">
      <w:rPr>
        <w:rFonts w:ascii="Arial" w:hAnsi="Arial" w:cs="Arial"/>
        <w:b/>
        <w:i/>
        <w:u w:val="single"/>
      </w:rPr>
      <w:t>Sustainable Ports Development Act 2015</w:t>
    </w:r>
  </w:p>
  <w:p w14:paraId="5210214C" w14:textId="065F1B34" w:rsidR="00CB1501" w:rsidRPr="00F75A38" w:rsidRDefault="00CB1501" w:rsidP="00D6589B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F75A38">
      <w:rPr>
        <w:rFonts w:ascii="Arial" w:hAnsi="Arial" w:cs="Arial"/>
        <w:b/>
        <w:sz w:val="22"/>
        <w:szCs w:val="22"/>
        <w:u w:val="single"/>
      </w:rPr>
      <w:t>Minister</w:t>
    </w:r>
    <w:r w:rsidR="00B2472C" w:rsidRPr="00F75A38">
      <w:rPr>
        <w:rFonts w:ascii="Arial" w:hAnsi="Arial" w:cs="Arial"/>
        <w:b/>
        <w:sz w:val="22"/>
        <w:szCs w:val="22"/>
        <w:u w:val="single"/>
      </w:rPr>
      <w:t xml:space="preserve"> for Transport and Main Roads</w:t>
    </w:r>
  </w:p>
  <w:p w14:paraId="4FDA3E7E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B23F" w14:textId="77777777" w:rsidR="00B2472C" w:rsidRDefault="00B24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2B2"/>
    <w:multiLevelType w:val="hybridMultilevel"/>
    <w:tmpl w:val="1F28C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6FC"/>
    <w:multiLevelType w:val="hybridMultilevel"/>
    <w:tmpl w:val="4002F1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0001F1"/>
    <w:multiLevelType w:val="hybridMultilevel"/>
    <w:tmpl w:val="36F273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605E0"/>
    <w:multiLevelType w:val="hybridMultilevel"/>
    <w:tmpl w:val="29D05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C1"/>
    <w:rsid w:val="00080F8F"/>
    <w:rsid w:val="000F70A6"/>
    <w:rsid w:val="0010384C"/>
    <w:rsid w:val="00174117"/>
    <w:rsid w:val="001D3884"/>
    <w:rsid w:val="0023544B"/>
    <w:rsid w:val="002509E8"/>
    <w:rsid w:val="00267426"/>
    <w:rsid w:val="00281D55"/>
    <w:rsid w:val="002924BD"/>
    <w:rsid w:val="003571E2"/>
    <w:rsid w:val="003640C1"/>
    <w:rsid w:val="003A3BDD"/>
    <w:rsid w:val="003C6D4E"/>
    <w:rsid w:val="003E0346"/>
    <w:rsid w:val="00411480"/>
    <w:rsid w:val="00412005"/>
    <w:rsid w:val="00441FEF"/>
    <w:rsid w:val="00451A25"/>
    <w:rsid w:val="004959D3"/>
    <w:rsid w:val="004A683D"/>
    <w:rsid w:val="004B79E6"/>
    <w:rsid w:val="004D114A"/>
    <w:rsid w:val="00501C66"/>
    <w:rsid w:val="00511A7E"/>
    <w:rsid w:val="00517181"/>
    <w:rsid w:val="00527CA9"/>
    <w:rsid w:val="00541BA3"/>
    <w:rsid w:val="00550873"/>
    <w:rsid w:val="00556153"/>
    <w:rsid w:val="005C091F"/>
    <w:rsid w:val="00637CC2"/>
    <w:rsid w:val="006431B6"/>
    <w:rsid w:val="007265D0"/>
    <w:rsid w:val="00732E22"/>
    <w:rsid w:val="00741C20"/>
    <w:rsid w:val="00751C3C"/>
    <w:rsid w:val="007D279E"/>
    <w:rsid w:val="007E6B60"/>
    <w:rsid w:val="007F1763"/>
    <w:rsid w:val="007F44F4"/>
    <w:rsid w:val="007F5E40"/>
    <w:rsid w:val="007F7F73"/>
    <w:rsid w:val="0080207E"/>
    <w:rsid w:val="00850206"/>
    <w:rsid w:val="008554CE"/>
    <w:rsid w:val="00893032"/>
    <w:rsid w:val="008C734B"/>
    <w:rsid w:val="008F4F54"/>
    <w:rsid w:val="009008AE"/>
    <w:rsid w:val="00904077"/>
    <w:rsid w:val="00906CBF"/>
    <w:rsid w:val="009356F1"/>
    <w:rsid w:val="00937A4A"/>
    <w:rsid w:val="00956F58"/>
    <w:rsid w:val="00966AF0"/>
    <w:rsid w:val="00992AE9"/>
    <w:rsid w:val="009A168E"/>
    <w:rsid w:val="009C64B8"/>
    <w:rsid w:val="00A44787"/>
    <w:rsid w:val="00A80429"/>
    <w:rsid w:val="00AA4DE7"/>
    <w:rsid w:val="00AE00CA"/>
    <w:rsid w:val="00B2472C"/>
    <w:rsid w:val="00B92C86"/>
    <w:rsid w:val="00C6241A"/>
    <w:rsid w:val="00C75E67"/>
    <w:rsid w:val="00CB1501"/>
    <w:rsid w:val="00CD24D0"/>
    <w:rsid w:val="00CD7A50"/>
    <w:rsid w:val="00CF0D8A"/>
    <w:rsid w:val="00D6589B"/>
    <w:rsid w:val="00DB53E2"/>
    <w:rsid w:val="00E150E0"/>
    <w:rsid w:val="00E433F1"/>
    <w:rsid w:val="00F10FC2"/>
    <w:rsid w:val="00F45B99"/>
    <w:rsid w:val="00F7049D"/>
    <w:rsid w:val="00F75A38"/>
    <w:rsid w:val="00F77CE0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1B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OverlayG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ttachments/OverlayTvl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Plan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Guidelin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B0775-BEE5-4A05-A8B7-04590A756E5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3B7E60-EBFF-4630-A16B-BF4F4FD4B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48C2-DC2B-4824-87C0-822222AD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360</Words>
  <Characters>1961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2317</CharactersWithSpaces>
  <SharedDoc>false</SharedDoc>
  <HyperlinkBase>https://www.cabinet.qld.gov.au/documents/2019/Sep/TvlPort/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dcterms:created xsi:type="dcterms:W3CDTF">2019-09-11T00:09:00Z</dcterms:created>
  <dcterms:modified xsi:type="dcterms:W3CDTF">2020-02-12T02:32:00Z</dcterms:modified>
  <cp:category>Transport,Planning,Regional_Planning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